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343" w14:textId="108636CE" w:rsidR="00D6179B" w:rsidRDefault="000720CC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C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</w:t>
      </w:r>
      <w:r w:rsidRPr="000720CC">
        <w:rPr>
          <w:rFonts w:ascii="Times New Roman" w:hAnsi="Times New Roman" w:cs="Times New Roman"/>
          <w:sz w:val="28"/>
          <w:szCs w:val="28"/>
          <w:lang w:val="ky-KG"/>
        </w:rPr>
        <w:br/>
        <w:t>2025-жылдын 4-июнундагы № 447-т токтомун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аткаруу максатында, </w:t>
      </w:r>
      <w:r w:rsidR="00D6179B" w:rsidRPr="00D6179B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Президентине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агенттиги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агенттик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төмөнкүдөй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79B" w:rsidRPr="00D6179B">
        <w:rPr>
          <w:rFonts w:ascii="Times New Roman" w:hAnsi="Times New Roman" w:cs="Times New Roman"/>
          <w:sz w:val="28"/>
          <w:szCs w:val="28"/>
        </w:rPr>
        <w:t>билдирет</w:t>
      </w:r>
      <w:proofErr w:type="spellEnd"/>
      <w:r w:rsidR="00D6179B"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B3BE82" w14:textId="77777777" w:rsidR="000720CC" w:rsidRDefault="00D6179B" w:rsidP="000720C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1.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мыйзамдарынын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азыркы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шайкештигин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жүргүзүлүп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мониторингден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талдоо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ишмердүүлүгүнүн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алкагында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2025-жылдын 12-августундагы № 198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Ушуга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ишмердүүлүктү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натыйжалуу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жөнгө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салууга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инвесторлордун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ишенимин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жогорулатууга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өнүгүүсүн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стимулдаштырууга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түзөт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B56F05" w14:textId="7AC513A2" w:rsidR="000720CC" w:rsidRDefault="00D6179B" w:rsidP="000720C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2.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1992-жылдын 6-мартындагы № 850-XII “Кыргыз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ишканалар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баштапкы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туруктуулукту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мөөнөттүү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активдүү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өзгөрүүлөр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фазасын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андан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кийинки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узак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мөөнөттүү</w:t>
      </w:r>
      <w:proofErr w:type="spellEnd"/>
      <w:r w:rsidRPr="00D617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туруктуулукту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айкалыштырат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жыштыгы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актыны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салыштырмалуу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туруктуу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категориясына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киргизүүгө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мүмкүндүк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берет.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концессиялык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ишканалар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мониторингдин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тууралуу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отчет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Юстиция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министрлигине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2025-жылдын 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  <w:r w:rsidRPr="00D6179B">
        <w:rPr>
          <w:rFonts w:ascii="Times New Roman" w:hAnsi="Times New Roman" w:cs="Times New Roman"/>
          <w:sz w:val="28"/>
          <w:szCs w:val="28"/>
        </w:rPr>
        <w:t xml:space="preserve">4-сентябрындагы № 09-6-671 каты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жөнөтүлгөн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Азыркы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2025-жылдын 4-июлундагы № 447-т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токтомуна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Кабинетинин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токтом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иштелип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чыгып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макулдашуу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жөнөтүлдү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>.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20CC" w:rsidRPr="000720CC">
        <w:rPr>
          <w:rFonts w:ascii="Times New Roman" w:hAnsi="Times New Roman" w:cs="Times New Roman"/>
          <w:sz w:val="28"/>
          <w:szCs w:val="28"/>
          <w:lang w:val="ky-KG"/>
        </w:rPr>
        <w:t>Кошумча түрдө, Кыргыз Республикасынын Министрлер Кабинетинин</w:t>
      </w:r>
      <w:r w:rsidR="000720CC" w:rsidRPr="000720CC">
        <w:rPr>
          <w:rFonts w:ascii="Times New Roman" w:hAnsi="Times New Roman" w:cs="Times New Roman"/>
          <w:sz w:val="28"/>
          <w:szCs w:val="28"/>
          <w:lang w:val="ky-KG"/>
        </w:rPr>
        <w:br/>
        <w:t xml:space="preserve">2025-жылдын 4-июнундагы № 447-т токтомуна 2025-жылдын 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</w:t>
      </w:r>
      <w:r w:rsidR="000720CC" w:rsidRPr="000720CC">
        <w:rPr>
          <w:rFonts w:ascii="Times New Roman" w:hAnsi="Times New Roman" w:cs="Times New Roman"/>
          <w:sz w:val="28"/>
          <w:szCs w:val="28"/>
          <w:lang w:val="ky-KG"/>
        </w:rPr>
        <w:t>30-октябрындагы № 924-т өзгөртүүлөр киргизилген: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20CC" w:rsidRPr="000720CC">
        <w:rPr>
          <w:rFonts w:ascii="Times New Roman" w:hAnsi="Times New Roman" w:cs="Times New Roman"/>
          <w:sz w:val="28"/>
          <w:szCs w:val="28"/>
          <w:lang w:val="ky-KG"/>
        </w:rPr>
        <w:t xml:space="preserve">жогоруда көрсөтүлгөн токтом менен 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 xml:space="preserve">бекитилген, </w:t>
      </w:r>
      <w:r w:rsidR="000720CC" w:rsidRPr="000720CC">
        <w:rPr>
          <w:rFonts w:ascii="Times New Roman" w:hAnsi="Times New Roman" w:cs="Times New Roman"/>
          <w:sz w:val="28"/>
          <w:szCs w:val="28"/>
          <w:lang w:val="ky-KG"/>
        </w:rPr>
        <w:t>2025-жылга карата укуктук мониторинг жүргүзүү планына</w:t>
      </w:r>
      <w:r w:rsidR="000720CC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7C4E613F" w14:textId="26750113" w:rsidR="00D6179B" w:rsidRPr="000720CC" w:rsidRDefault="000720CC" w:rsidP="000720C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720CC">
        <w:rPr>
          <w:rFonts w:ascii="Times New Roman" w:hAnsi="Times New Roman" w:cs="Times New Roman"/>
          <w:sz w:val="28"/>
          <w:szCs w:val="28"/>
          <w:lang w:val="ky-KG"/>
        </w:rPr>
        <w:t xml:space="preserve">– 28-пункт күчүн жоготту, тактап айтканда, 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0720C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Республикасындагы концессиялар жана концессиялык ишканалар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Pr="000720CC">
        <w:rPr>
          <w:rFonts w:ascii="Times New Roman" w:hAnsi="Times New Roman" w:cs="Times New Roman"/>
          <w:sz w:val="28"/>
          <w:szCs w:val="28"/>
          <w:lang w:val="ky-KG"/>
        </w:rPr>
        <w:t>Мыйзамы.</w:t>
      </w:r>
    </w:p>
    <w:p w14:paraId="1DA0149E" w14:textId="77777777" w:rsid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CC">
        <w:rPr>
          <w:rFonts w:ascii="Times New Roman" w:hAnsi="Times New Roman" w:cs="Times New Roman"/>
          <w:sz w:val="28"/>
          <w:szCs w:val="28"/>
          <w:lang w:val="ky-KG"/>
        </w:rPr>
        <w:t xml:space="preserve">3. 2014-жылдын 11-январындагы № 6 Кыргыз Республикасынын “Кыргыз Республикасындагы эркин экономикалык зоналар жөнүндө” Мыйзамы салыштырмалуу туруктуу акт болуп саналат, акыркы 11 жыл ичинде </w:t>
      </w:r>
      <w:r w:rsidRPr="000720CC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ага болгону 5 жолу өзгөртүүлөр киргизилген.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негизделип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шарттарга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ылайыкташтырууга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багытталган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Ошол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учурдагы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талаптарга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жооп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бербеген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эскирген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жоболор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сакталууда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тактап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айтканда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санарип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зоналар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>, IT-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парктар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электрондук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соода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ecommerce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ченемдер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Эл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тенденцияларды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санариптештирүү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процесстерин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ишмердүүлүктүн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натыйжалуулугун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баалоо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көрсөткүчтөрүн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(KPI)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киргизүүнүн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зарылдыгын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мезгил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саналат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C770E" w14:textId="65F5B14F" w:rsidR="007938EA" w:rsidRP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79B">
        <w:rPr>
          <w:rFonts w:ascii="Times New Roman" w:hAnsi="Times New Roman" w:cs="Times New Roman"/>
          <w:sz w:val="28"/>
          <w:szCs w:val="28"/>
        </w:rPr>
        <w:t xml:space="preserve">4. 2021-жылдын 11-августундагы № 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инфраструктуралык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социалдык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долбоорлорго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инвестицияларды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тартуу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эле, 2025-жылдын 31-июлундагы № 183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маселелери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актыларына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өзгөртүүлөрдү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2021-жылдын 11-августундагы № 98 Кыргыз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Мамлекеттик-жеке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Мыйзамына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киргизилген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өзгөртүүлөр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толуктоолор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мамлекеттик-менчик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өнөктөштүк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долбоорлорун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ишке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ашыруу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жетиштүү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мыйзамдык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базаны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түзүп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механизмдерди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79B">
        <w:rPr>
          <w:rFonts w:ascii="Times New Roman" w:hAnsi="Times New Roman" w:cs="Times New Roman"/>
          <w:sz w:val="28"/>
          <w:szCs w:val="28"/>
        </w:rPr>
        <w:t>чыңдады</w:t>
      </w:r>
      <w:proofErr w:type="spellEnd"/>
      <w:r w:rsidRPr="00D6179B">
        <w:rPr>
          <w:rFonts w:ascii="Times New Roman" w:hAnsi="Times New Roman" w:cs="Times New Roman"/>
          <w:sz w:val="28"/>
          <w:szCs w:val="28"/>
        </w:rPr>
        <w:t>.</w:t>
      </w:r>
    </w:p>
    <w:p w14:paraId="27B2BCDE" w14:textId="417F84F2" w:rsidR="00D6179B" w:rsidRPr="00D6179B" w:rsidRDefault="00D6179B" w:rsidP="00D6179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D6179B" w:rsidRPr="00D6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88"/>
    <w:rsid w:val="000720CC"/>
    <w:rsid w:val="0038033B"/>
    <w:rsid w:val="007938EA"/>
    <w:rsid w:val="00D6179B"/>
    <w:rsid w:val="00E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B2D1"/>
  <w15:chartTrackingRefBased/>
  <w15:docId w15:val="{9BC987AC-9B01-4D34-ACFE-DED409E6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 Таалайбек</dc:creator>
  <cp:keywords/>
  <dc:description/>
  <cp:lastModifiedBy>Темирлан Таалайбек</cp:lastModifiedBy>
  <cp:revision>3</cp:revision>
  <dcterms:created xsi:type="dcterms:W3CDTF">2025-10-13T10:08:00Z</dcterms:created>
  <dcterms:modified xsi:type="dcterms:W3CDTF">2025-11-11T11:44:00Z</dcterms:modified>
</cp:coreProperties>
</file>